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2EE4">
        <w:rPr>
          <w:rFonts w:ascii="Arial" w:hAnsi="Arial" w:cs="Arial"/>
          <w:b/>
          <w:bCs/>
          <w:sz w:val="22"/>
          <w:szCs w:val="22"/>
        </w:rPr>
        <w:t>FRACCIÓN II</w:t>
      </w:r>
    </w:p>
    <w:p w:rsidR="007F2EE4" w:rsidRPr="007F2EE4" w:rsidRDefault="007F2EE4" w:rsidP="007F2E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2EE4">
        <w:rPr>
          <w:rFonts w:ascii="Arial" w:hAnsi="Arial" w:cs="Arial"/>
          <w:b/>
          <w:bCs/>
          <w:sz w:val="22"/>
          <w:szCs w:val="22"/>
        </w:rPr>
        <w:t>ESTRUCTURA ORGÁNICA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right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 xml:space="preserve">Fecha de </w:t>
      </w:r>
      <w:r w:rsidR="000761E5">
        <w:rPr>
          <w:rFonts w:ascii="Arial" w:hAnsi="Arial" w:cs="Arial"/>
          <w:sz w:val="22"/>
          <w:szCs w:val="22"/>
        </w:rPr>
        <w:t>a</w:t>
      </w:r>
      <w:r w:rsidRPr="007F2EE4">
        <w:rPr>
          <w:rFonts w:ascii="Arial" w:hAnsi="Arial" w:cs="Arial"/>
          <w:sz w:val="22"/>
          <w:szCs w:val="22"/>
        </w:rPr>
        <w:t>ctualización: 3</w:t>
      </w:r>
      <w:r w:rsidR="000947CD">
        <w:rPr>
          <w:rFonts w:ascii="Arial" w:hAnsi="Arial" w:cs="Arial"/>
          <w:sz w:val="22"/>
          <w:szCs w:val="22"/>
        </w:rPr>
        <w:t>1</w:t>
      </w:r>
      <w:r w:rsidRPr="007F2EE4">
        <w:rPr>
          <w:rFonts w:ascii="Arial" w:hAnsi="Arial" w:cs="Arial"/>
          <w:sz w:val="22"/>
          <w:szCs w:val="22"/>
        </w:rPr>
        <w:t xml:space="preserve"> de </w:t>
      </w:r>
      <w:r w:rsidR="000947CD">
        <w:rPr>
          <w:rFonts w:ascii="Arial" w:hAnsi="Arial" w:cs="Arial"/>
          <w:sz w:val="22"/>
          <w:szCs w:val="22"/>
        </w:rPr>
        <w:t xml:space="preserve">diciembre </w:t>
      </w:r>
      <w:r w:rsidRPr="007F2EE4">
        <w:rPr>
          <w:rFonts w:ascii="Arial" w:hAnsi="Arial" w:cs="Arial"/>
          <w:sz w:val="22"/>
          <w:szCs w:val="22"/>
        </w:rPr>
        <w:t>de 2019</w:t>
      </w:r>
      <w:bookmarkStart w:id="0" w:name="_GoBack"/>
      <w:bookmarkEnd w:id="0"/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F2EE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7F2EE4" w:rsidRPr="007F2EE4" w:rsidRDefault="007F2EE4" w:rsidP="007F2EE4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7F2EE4" w:rsidRPr="007F2EE4" w:rsidRDefault="007F2EE4" w:rsidP="007F2EE4">
      <w:pPr>
        <w:ind w:left="284"/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i/>
          <w:iCs/>
          <w:sz w:val="22"/>
          <w:szCs w:val="22"/>
        </w:rPr>
        <w:t>II.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aplicables.”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Atendiendo a lo establecido en el artículo octavo de su decreto de creación, en lo concerniente a las partes, no se contempla la existencia de una estructura orgánica. Por lo que derivado del análisis de lo anterior se determina que la presente fracción no resulta aplicable.</w:t>
      </w:r>
    </w:p>
    <w:p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Sin embargo, el Fideicomiso cuenta con un órgano de gobierno denominado Comité Técnico, el cual está integrado veinticuatro vocales y sus respectivos suplentes, entre los cuales se encuentra un Presidente y un Secretario Técnico.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El Comité Técnico quedará integrado de la siguiente manera: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10 vocales de la zona centro sur y occidente que incluye las ciudades de Chihuahua, Delicias, Hidalgo del Parral y Cuauhtémoc</w:t>
      </w:r>
      <w:r>
        <w:rPr>
          <w:rFonts w:ascii="Arial" w:hAnsi="Arial" w:cs="Arial"/>
          <w:sz w:val="22"/>
          <w:szCs w:val="22"/>
        </w:rPr>
        <w:t>.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10 vocales de la zona norte que incluye Ciudad Juárez y Casas Grandes</w:t>
      </w:r>
      <w:r>
        <w:rPr>
          <w:rFonts w:ascii="Arial" w:hAnsi="Arial" w:cs="Arial"/>
          <w:sz w:val="22"/>
          <w:szCs w:val="22"/>
        </w:rPr>
        <w:t>.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Fiscalía General del Estado</w:t>
      </w:r>
      <w:r>
        <w:rPr>
          <w:rFonts w:ascii="Arial" w:hAnsi="Arial" w:cs="Arial"/>
          <w:sz w:val="22"/>
          <w:szCs w:val="22"/>
        </w:rPr>
        <w:t>.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Secretaría de Hacienda</w:t>
      </w:r>
      <w:r>
        <w:rPr>
          <w:rFonts w:ascii="Arial" w:hAnsi="Arial" w:cs="Arial"/>
          <w:sz w:val="22"/>
          <w:szCs w:val="22"/>
        </w:rPr>
        <w:t>.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Secretaría de Innovación y Desarrollo Económico</w:t>
      </w:r>
      <w:r>
        <w:rPr>
          <w:rFonts w:ascii="Arial" w:hAnsi="Arial" w:cs="Arial"/>
          <w:sz w:val="22"/>
          <w:szCs w:val="22"/>
        </w:rPr>
        <w:t>.</w:t>
      </w:r>
    </w:p>
    <w:p w:rsidR="007F2EE4" w:rsidRP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del Secretariado Ejecutivo del Sistema Estatal de Seguridad Pública</w:t>
      </w:r>
      <w:r>
        <w:rPr>
          <w:rFonts w:ascii="Arial" w:hAnsi="Arial" w:cs="Arial"/>
          <w:sz w:val="22"/>
          <w:szCs w:val="22"/>
        </w:rPr>
        <w:t>.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 xml:space="preserve"> </w:t>
      </w:r>
    </w:p>
    <w:p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Las atribuciones del Comité Técnico son las siguientes: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Vigilar el cumplimiento de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Establecer lineamientos, reglas y procedimientos de operación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Remitir por escrito al Fiduciario los acuerdos que sean tomados y que impliquen la intervención de aquel, para su ejecución y/o cumplimiento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al Fiduciario para otorgar o revocar poderes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Instruir a la Fiduciaria sobre el manejo de recursos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los recursos para la realización de programas, acciones, planes y proyectos sobre el objeto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Aprobar los contratos, convenios y demás instrumentos jurídicos que sean necesarios para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Instruir a la Fiduciaria respecto a la política de inversión de los fondos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lastRenderedPageBreak/>
        <w:t>Conocer mensualmente los estados financieros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Establecer lineamientos en materia de auditoria interna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Revisar y aprobar, en su caso, la información financiera y contable que le presente el Fiduciario y dictar las medidas correctivas procedentes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al Fiduciario a la entrega de recursos, ajustándose a los montos aprobados, así como la suspensión de éstos y la recuperación en su caso</w:t>
      </w:r>
      <w:r w:rsidR="00A742DF">
        <w:rPr>
          <w:rFonts w:ascii="Arial" w:hAnsi="Arial" w:cs="Arial"/>
          <w:sz w:val="22"/>
          <w:szCs w:val="22"/>
        </w:rPr>
        <w:t>.</w:t>
      </w:r>
    </w:p>
    <w:p w:rsidR="00C63C08" w:rsidRP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Así como todas aquellas facultades que se deriven de la Ley, de este Decreto, de las Reglas de Operación o del Contrato de Fideicomiso, necesarias para el cumplimiento de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sectPr w:rsidR="00C63C08" w:rsidRPr="00A742DF" w:rsidSect="0066180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D65" w:rsidRDefault="00ED1D65" w:rsidP="00C63C08">
      <w:r>
        <w:separator/>
      </w:r>
    </w:p>
  </w:endnote>
  <w:endnote w:type="continuationSeparator" w:id="0">
    <w:p w:rsidR="00ED1D65" w:rsidRDefault="00ED1D65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D65" w:rsidRDefault="00ED1D65" w:rsidP="00C63C08">
      <w:r>
        <w:separator/>
      </w:r>
    </w:p>
  </w:footnote>
  <w:footnote w:type="continuationSeparator" w:id="0">
    <w:p w:rsidR="00ED1D65" w:rsidRDefault="00ED1D65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F31"/>
    <w:multiLevelType w:val="hybridMultilevel"/>
    <w:tmpl w:val="7CBE13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770F"/>
    <w:multiLevelType w:val="hybridMultilevel"/>
    <w:tmpl w:val="D160E8BC"/>
    <w:lvl w:ilvl="0" w:tplc="CE784BE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7B56"/>
    <w:multiLevelType w:val="hybridMultilevel"/>
    <w:tmpl w:val="F62A5C10"/>
    <w:lvl w:ilvl="0" w:tplc="AE069C2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22F3"/>
    <w:multiLevelType w:val="hybridMultilevel"/>
    <w:tmpl w:val="DF6252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61E5"/>
    <w:rsid w:val="000947CD"/>
    <w:rsid w:val="00661801"/>
    <w:rsid w:val="007F2EE4"/>
    <w:rsid w:val="00823B21"/>
    <w:rsid w:val="00947A2F"/>
    <w:rsid w:val="00A742DF"/>
    <w:rsid w:val="00A828F8"/>
    <w:rsid w:val="00C63C08"/>
    <w:rsid w:val="00E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18B50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  <w:style w:type="paragraph" w:styleId="Prrafodelista">
    <w:name w:val="List Paragraph"/>
    <w:basedOn w:val="Normal"/>
    <w:uiPriority w:val="34"/>
    <w:qFormat/>
    <w:rsid w:val="007F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4</cp:revision>
  <dcterms:created xsi:type="dcterms:W3CDTF">2019-10-30T17:46:00Z</dcterms:created>
  <dcterms:modified xsi:type="dcterms:W3CDTF">2020-01-30T23:41:00Z</dcterms:modified>
</cp:coreProperties>
</file>