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3039A" w:rsidRDefault="00B3039A" w:rsidP="00B3039A">
      <w:pPr>
        <w:jc w:val="both"/>
        <w:rPr>
          <w:rFonts w:ascii="Arial" w:hAnsi="Arial" w:cs="Arial"/>
          <w:sz w:val="22"/>
          <w:szCs w:val="22"/>
        </w:rPr>
      </w:pPr>
    </w:p>
    <w:p w:rsidR="00B3039A" w:rsidRPr="00B3039A" w:rsidRDefault="00B3039A" w:rsidP="00B3039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3039A">
        <w:rPr>
          <w:rFonts w:ascii="Arial" w:hAnsi="Arial" w:cs="Arial"/>
          <w:b/>
          <w:bCs/>
          <w:sz w:val="22"/>
          <w:szCs w:val="22"/>
        </w:rPr>
        <w:t>FRACCIÓN XVII</w:t>
      </w:r>
    </w:p>
    <w:p w:rsidR="00B3039A" w:rsidRPr="00B3039A" w:rsidRDefault="00B3039A" w:rsidP="00B3039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3039A">
        <w:rPr>
          <w:rFonts w:ascii="Arial" w:hAnsi="Arial" w:cs="Arial"/>
          <w:b/>
          <w:bCs/>
          <w:sz w:val="22"/>
          <w:szCs w:val="22"/>
        </w:rPr>
        <w:t>INFORMACIÓN CURRICULAR</w:t>
      </w:r>
    </w:p>
    <w:p w:rsidR="00B3039A" w:rsidRDefault="00B3039A" w:rsidP="00B3039A">
      <w:pPr>
        <w:jc w:val="both"/>
        <w:rPr>
          <w:rFonts w:ascii="Arial" w:hAnsi="Arial" w:cs="Arial"/>
          <w:sz w:val="22"/>
          <w:szCs w:val="22"/>
        </w:rPr>
      </w:pPr>
    </w:p>
    <w:p w:rsidR="00B3039A" w:rsidRPr="00B3039A" w:rsidRDefault="00B3039A" w:rsidP="00B3039A">
      <w:pPr>
        <w:jc w:val="right"/>
        <w:rPr>
          <w:rFonts w:ascii="Arial" w:hAnsi="Arial" w:cs="Arial"/>
          <w:sz w:val="22"/>
          <w:szCs w:val="22"/>
        </w:rPr>
      </w:pPr>
      <w:r w:rsidRPr="00B3039A">
        <w:rPr>
          <w:rFonts w:ascii="Arial" w:hAnsi="Arial" w:cs="Arial"/>
          <w:sz w:val="22"/>
          <w:szCs w:val="22"/>
        </w:rPr>
        <w:t xml:space="preserve">Fecha de </w:t>
      </w:r>
      <w:r>
        <w:rPr>
          <w:rFonts w:ascii="Arial" w:hAnsi="Arial" w:cs="Arial"/>
          <w:sz w:val="22"/>
          <w:szCs w:val="22"/>
        </w:rPr>
        <w:t>a</w:t>
      </w:r>
      <w:r w:rsidRPr="00B3039A">
        <w:rPr>
          <w:rFonts w:ascii="Arial" w:hAnsi="Arial" w:cs="Arial"/>
          <w:sz w:val="22"/>
          <w:szCs w:val="22"/>
        </w:rPr>
        <w:t xml:space="preserve">ctualización: </w:t>
      </w:r>
      <w:r w:rsidR="00B80CEA" w:rsidRPr="00B80CEA">
        <w:rPr>
          <w:rFonts w:ascii="Arial" w:hAnsi="Arial" w:cs="Arial"/>
          <w:sz w:val="22"/>
          <w:szCs w:val="22"/>
        </w:rPr>
        <w:t>3</w:t>
      </w:r>
      <w:r w:rsidR="00EA4EE9">
        <w:rPr>
          <w:rFonts w:ascii="Arial" w:hAnsi="Arial" w:cs="Arial"/>
          <w:sz w:val="22"/>
          <w:szCs w:val="22"/>
        </w:rPr>
        <w:t>0</w:t>
      </w:r>
      <w:r w:rsidR="00B80CEA" w:rsidRPr="00B80CEA">
        <w:rPr>
          <w:rFonts w:ascii="Arial" w:hAnsi="Arial" w:cs="Arial"/>
          <w:sz w:val="22"/>
          <w:szCs w:val="22"/>
        </w:rPr>
        <w:t xml:space="preserve"> de </w:t>
      </w:r>
      <w:r w:rsidR="00EA4EE9">
        <w:rPr>
          <w:rFonts w:ascii="Arial" w:hAnsi="Arial" w:cs="Arial"/>
          <w:sz w:val="22"/>
          <w:szCs w:val="22"/>
        </w:rPr>
        <w:t>junio</w:t>
      </w:r>
      <w:r w:rsidR="00B80CEA" w:rsidRPr="00B80CEA">
        <w:rPr>
          <w:rFonts w:ascii="Arial" w:hAnsi="Arial" w:cs="Arial"/>
          <w:sz w:val="22"/>
          <w:szCs w:val="22"/>
        </w:rPr>
        <w:t xml:space="preserve"> de 20</w:t>
      </w:r>
      <w:r w:rsidR="00A34BA1">
        <w:rPr>
          <w:rFonts w:ascii="Arial" w:hAnsi="Arial" w:cs="Arial"/>
          <w:sz w:val="22"/>
          <w:szCs w:val="22"/>
        </w:rPr>
        <w:t>20</w:t>
      </w:r>
    </w:p>
    <w:p w:rsidR="00B3039A" w:rsidRDefault="00B3039A" w:rsidP="00B3039A">
      <w:pPr>
        <w:jc w:val="both"/>
        <w:rPr>
          <w:rFonts w:ascii="Arial" w:hAnsi="Arial" w:cs="Arial"/>
          <w:sz w:val="22"/>
          <w:szCs w:val="22"/>
        </w:rPr>
      </w:pPr>
    </w:p>
    <w:p w:rsidR="00B3039A" w:rsidRDefault="00B3039A" w:rsidP="00B3039A">
      <w:pPr>
        <w:jc w:val="both"/>
        <w:rPr>
          <w:rFonts w:ascii="Arial" w:hAnsi="Arial" w:cs="Arial"/>
          <w:sz w:val="22"/>
          <w:szCs w:val="22"/>
        </w:rPr>
      </w:pPr>
    </w:p>
    <w:p w:rsidR="00B3039A" w:rsidRPr="00B3039A" w:rsidRDefault="00B3039A" w:rsidP="00B3039A">
      <w:pPr>
        <w:jc w:val="both"/>
        <w:rPr>
          <w:rFonts w:ascii="Arial" w:hAnsi="Arial" w:cs="Arial"/>
          <w:sz w:val="22"/>
          <w:szCs w:val="22"/>
        </w:rPr>
      </w:pPr>
      <w:r w:rsidRPr="00B3039A">
        <w:rPr>
          <w:rFonts w:ascii="Arial" w:hAnsi="Arial" w:cs="Arial"/>
          <w:sz w:val="22"/>
          <w:szCs w:val="22"/>
        </w:rPr>
        <w:t>La Ley de Transparencia y Acceso a la Información Pública del Estado de Chihuahua, establece en su art. 77, lo siguiente:</w:t>
      </w:r>
    </w:p>
    <w:p w:rsidR="00B3039A" w:rsidRDefault="00B3039A" w:rsidP="00B3039A">
      <w:pPr>
        <w:jc w:val="both"/>
        <w:rPr>
          <w:rFonts w:ascii="Arial" w:hAnsi="Arial" w:cs="Arial"/>
          <w:sz w:val="22"/>
          <w:szCs w:val="22"/>
        </w:rPr>
      </w:pPr>
    </w:p>
    <w:p w:rsidR="00B3039A" w:rsidRPr="00D57434" w:rsidRDefault="00B3039A" w:rsidP="00B3039A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D57434">
        <w:rPr>
          <w:rFonts w:ascii="Arial" w:hAnsi="Arial" w:cs="Arial"/>
          <w:i/>
          <w:iCs/>
          <w:sz w:val="22"/>
          <w:szCs w:val="22"/>
        </w:rPr>
        <w:t>“Los Sujetos Obligados deberán transparentar las siguientes obligaciones de transparencia:</w:t>
      </w:r>
    </w:p>
    <w:p w:rsidR="00B3039A" w:rsidRPr="00D57434" w:rsidRDefault="00B3039A" w:rsidP="00B3039A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</w:p>
    <w:p w:rsidR="00B3039A" w:rsidRPr="00D57434" w:rsidRDefault="00B3039A" w:rsidP="00B3039A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D57434">
        <w:rPr>
          <w:rFonts w:ascii="Arial" w:hAnsi="Arial" w:cs="Arial"/>
          <w:i/>
          <w:iCs/>
          <w:sz w:val="22"/>
          <w:szCs w:val="22"/>
        </w:rPr>
        <w:t>XVII. La información curricular, desde el nivel de jefe de departamento o equivalente, hasta el titular del Sujeto Obligado, así como, en su caso, las sanciones administrativas de que haya sido objeto.”</w:t>
      </w:r>
    </w:p>
    <w:p w:rsidR="00B3039A" w:rsidRDefault="00B3039A" w:rsidP="00B3039A">
      <w:pPr>
        <w:jc w:val="both"/>
        <w:rPr>
          <w:rFonts w:ascii="Arial" w:hAnsi="Arial" w:cs="Arial"/>
          <w:sz w:val="22"/>
          <w:szCs w:val="22"/>
        </w:rPr>
      </w:pPr>
    </w:p>
    <w:p w:rsidR="00B3039A" w:rsidRDefault="00B3039A" w:rsidP="00B3039A">
      <w:pPr>
        <w:jc w:val="both"/>
        <w:rPr>
          <w:rFonts w:ascii="Arial" w:hAnsi="Arial" w:cs="Arial"/>
          <w:sz w:val="22"/>
          <w:szCs w:val="22"/>
        </w:rPr>
      </w:pPr>
    </w:p>
    <w:p w:rsidR="00C63C08" w:rsidRPr="00B3039A" w:rsidRDefault="00B3039A" w:rsidP="00B3039A">
      <w:pPr>
        <w:jc w:val="both"/>
      </w:pPr>
      <w:r w:rsidRPr="00B3039A">
        <w:rPr>
          <w:rFonts w:ascii="Arial" w:hAnsi="Arial" w:cs="Arial"/>
          <w:sz w:val="22"/>
          <w:szCs w:val="22"/>
        </w:rPr>
        <w:t>En la misma tesitura de las fracciones anteriores y de acuerdo al marco jurídico aplicable al Fideicomiso, se advierte que no se contempla la existencia de una estructura orgánica o administrativa, por lo que derivado del análisis de lo anterior se determina que la presente fracción no resulta aplicable al Fideicomiso.</w:t>
      </w:r>
    </w:p>
    <w:sectPr w:rsidR="00C63C08" w:rsidRPr="00B3039A" w:rsidSect="00661801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855E4" w:rsidRDefault="002855E4" w:rsidP="00C63C08">
      <w:r>
        <w:separator/>
      </w:r>
    </w:p>
  </w:endnote>
  <w:endnote w:type="continuationSeparator" w:id="0">
    <w:p w:rsidR="002855E4" w:rsidRDefault="002855E4" w:rsidP="00C6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3C08" w:rsidRPr="00C63C08" w:rsidRDefault="00C63C08" w:rsidP="00C63C08">
    <w:pPr>
      <w:pStyle w:val="Piedepgina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Calle 21a No. 2501, Col. Santo Niño, Tel. 614 413-24-71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855E4" w:rsidRDefault="002855E4" w:rsidP="00C63C08">
      <w:r>
        <w:separator/>
      </w:r>
    </w:p>
  </w:footnote>
  <w:footnote w:type="continuationSeparator" w:id="0">
    <w:p w:rsidR="002855E4" w:rsidRDefault="002855E4" w:rsidP="00C63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3C08" w:rsidRDefault="00C63C08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22A3E5F4" wp14:editId="04B97A84">
          <wp:simplePos x="0" y="0"/>
          <wp:positionH relativeFrom="page">
            <wp:posOffset>1080135</wp:posOffset>
          </wp:positionH>
          <wp:positionV relativeFrom="page">
            <wp:posOffset>448945</wp:posOffset>
          </wp:positionV>
          <wp:extent cx="1418374" cy="35513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8374" cy="35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08"/>
    <w:rsid w:val="00270076"/>
    <w:rsid w:val="002855E4"/>
    <w:rsid w:val="00314106"/>
    <w:rsid w:val="00345C55"/>
    <w:rsid w:val="003B6C43"/>
    <w:rsid w:val="00421B49"/>
    <w:rsid w:val="00454CEF"/>
    <w:rsid w:val="004F551F"/>
    <w:rsid w:val="00661801"/>
    <w:rsid w:val="006801AA"/>
    <w:rsid w:val="0072076E"/>
    <w:rsid w:val="007A28AF"/>
    <w:rsid w:val="00823B21"/>
    <w:rsid w:val="008C4887"/>
    <w:rsid w:val="00A34BA1"/>
    <w:rsid w:val="00A940FB"/>
    <w:rsid w:val="00AC6B46"/>
    <w:rsid w:val="00B3039A"/>
    <w:rsid w:val="00B80CEA"/>
    <w:rsid w:val="00C63C08"/>
    <w:rsid w:val="00D57434"/>
    <w:rsid w:val="00EA4EE9"/>
    <w:rsid w:val="00FE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F481F2"/>
  <w15:chartTrackingRefBased/>
  <w15:docId w15:val="{8C802945-BAE7-1F42-81BB-35638246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3C08"/>
  </w:style>
  <w:style w:type="paragraph" w:styleId="Piedepgina">
    <w:name w:val="footer"/>
    <w:basedOn w:val="Normal"/>
    <w:link w:val="Piedepgina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Fundacion Ficosec AC</dc:creator>
  <cp:keywords/>
  <dc:description/>
  <cp:lastModifiedBy>Fundacion Ficosec AC</cp:lastModifiedBy>
  <cp:revision>6</cp:revision>
  <dcterms:created xsi:type="dcterms:W3CDTF">2019-10-30T19:59:00Z</dcterms:created>
  <dcterms:modified xsi:type="dcterms:W3CDTF">2020-08-01T01:21:00Z</dcterms:modified>
</cp:coreProperties>
</file>