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FRACCIÓN II</w:t>
      </w:r>
    </w:p>
    <w:p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ESTRUCTURA ORGÁNICA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right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Fecha de </w:t>
      </w:r>
      <w:r w:rsidR="000761E5">
        <w:rPr>
          <w:rFonts w:ascii="Arial" w:hAnsi="Arial" w:cs="Arial"/>
          <w:sz w:val="22"/>
          <w:szCs w:val="22"/>
        </w:rPr>
        <w:t>a</w:t>
      </w:r>
      <w:r w:rsidRPr="007F2EE4">
        <w:rPr>
          <w:rFonts w:ascii="Arial" w:hAnsi="Arial" w:cs="Arial"/>
          <w:sz w:val="22"/>
          <w:szCs w:val="22"/>
        </w:rPr>
        <w:t>ctualización: 3</w:t>
      </w:r>
      <w:r w:rsidR="00484A66">
        <w:rPr>
          <w:rFonts w:ascii="Arial" w:hAnsi="Arial" w:cs="Arial"/>
          <w:sz w:val="22"/>
          <w:szCs w:val="22"/>
        </w:rPr>
        <w:t>0</w:t>
      </w:r>
      <w:r w:rsidRPr="007F2EE4">
        <w:rPr>
          <w:rFonts w:ascii="Arial" w:hAnsi="Arial" w:cs="Arial"/>
          <w:sz w:val="22"/>
          <w:szCs w:val="22"/>
        </w:rPr>
        <w:t xml:space="preserve"> de </w:t>
      </w:r>
      <w:r w:rsidR="00484A66">
        <w:rPr>
          <w:rFonts w:ascii="Arial" w:hAnsi="Arial" w:cs="Arial"/>
          <w:sz w:val="22"/>
          <w:szCs w:val="22"/>
        </w:rPr>
        <w:t>junio</w:t>
      </w:r>
      <w:r w:rsidR="000947CD">
        <w:rPr>
          <w:rFonts w:ascii="Arial" w:hAnsi="Arial" w:cs="Arial"/>
          <w:sz w:val="22"/>
          <w:szCs w:val="22"/>
        </w:rPr>
        <w:t xml:space="preserve"> </w:t>
      </w:r>
      <w:r w:rsidRPr="007F2EE4">
        <w:rPr>
          <w:rFonts w:ascii="Arial" w:hAnsi="Arial" w:cs="Arial"/>
          <w:sz w:val="22"/>
          <w:szCs w:val="22"/>
        </w:rPr>
        <w:t>de 20</w:t>
      </w:r>
      <w:r w:rsidR="00731149">
        <w:rPr>
          <w:rFonts w:ascii="Arial" w:hAnsi="Arial" w:cs="Arial"/>
          <w:sz w:val="22"/>
          <w:szCs w:val="22"/>
        </w:rPr>
        <w:t>20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F2EE4" w:rsidRPr="007F2EE4" w:rsidRDefault="007F2EE4" w:rsidP="007F2EE4">
      <w:pPr>
        <w:ind w:left="284"/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aplicables.”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orgánica. Por lo que derivado del análisis de lo anterior se determina que la presente fracción no resulta aplicable.</w:t>
      </w: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Sin embargo, el Fideicomiso cuenta con un órgano de gobierno denominado Comité Técnico, el cual está integrado veinticuatro vocales y sus respectivos suplentes, entre los cuales se encuentra un Presidente y un Secretario Técnico.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El Comité Técnico quedará integrado de la siguiente manera: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centro sur y occidente que incluye las ciudades de Chihuahua, Delicias, Hidalgo del Parral y Cuauhtémoc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norte que incluye Ciudad Juárez y Casas Grandes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Fiscalía General del Estado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Hacienda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Innovación y Desarrollo Económico</w:t>
      </w:r>
      <w:r>
        <w:rPr>
          <w:rFonts w:ascii="Arial" w:hAnsi="Arial" w:cs="Arial"/>
          <w:sz w:val="22"/>
          <w:szCs w:val="22"/>
        </w:rPr>
        <w:t>.</w:t>
      </w:r>
    </w:p>
    <w:p w:rsidR="007F2EE4" w:rsidRP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del Secretariado Ejecutivo del Sistema Estatal de Seguridad Pública</w:t>
      </w:r>
      <w:r>
        <w:rPr>
          <w:rFonts w:ascii="Arial" w:hAnsi="Arial" w:cs="Arial"/>
          <w:sz w:val="22"/>
          <w:szCs w:val="22"/>
        </w:rPr>
        <w:t>.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 </w:t>
      </w: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Las atribuciones del Comité Técnico son las siguientes: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Vigilar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lineamientos, reglas y procedimientos de operación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Remitir por escrito al Fiduciario los acuerdos que sean tomados y que impliquen la intervención de aquel, para su ejecución y/o cumplimiento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para otorgar o revocar poderes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sobre el manejo de recursos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los recursos para la realización de programas, acciones, planes y proyectos sobre el objeto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Aprobar los contratos, convenios y demás instrumentos jurídicos que sean necesarios para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respecto a la política de inversión de los fondos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lastRenderedPageBreak/>
        <w:t>Conocer mensualmente los estados financieros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 en materia de auditoria interna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Revisar y aprobar, en su caso, la información financiera y contable que le presente el Fiduciario y dictar las medidas correctivas procedentes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a la entrega de recursos, ajustándose a los montos aprobados, así como la suspensión de éstos y la recuperación en su caso</w:t>
      </w:r>
      <w:r w:rsidR="00A742DF">
        <w:rPr>
          <w:rFonts w:ascii="Arial" w:hAnsi="Arial" w:cs="Arial"/>
          <w:sz w:val="22"/>
          <w:szCs w:val="22"/>
        </w:rPr>
        <w:t>.</w:t>
      </w:r>
    </w:p>
    <w:p w:rsidR="00C63C08" w:rsidRP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Así como todas aquellas facultades que se deriven de la Ley, de este Decreto, de las Reglas de Operación o del Contrato de Fideicomiso, necesarias para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sectPr w:rsidR="00C63C08" w:rsidRPr="00A742DF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37E" w:rsidRDefault="0072237E" w:rsidP="00C63C08">
      <w:r>
        <w:separator/>
      </w:r>
    </w:p>
  </w:endnote>
  <w:endnote w:type="continuationSeparator" w:id="0">
    <w:p w:rsidR="0072237E" w:rsidRDefault="0072237E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37E" w:rsidRDefault="0072237E" w:rsidP="00C63C08">
      <w:r>
        <w:separator/>
      </w:r>
    </w:p>
  </w:footnote>
  <w:footnote w:type="continuationSeparator" w:id="0">
    <w:p w:rsidR="0072237E" w:rsidRDefault="0072237E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B4F31"/>
    <w:multiLevelType w:val="hybridMultilevel"/>
    <w:tmpl w:val="7CBE13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70F"/>
    <w:multiLevelType w:val="hybridMultilevel"/>
    <w:tmpl w:val="D160E8BC"/>
    <w:lvl w:ilvl="0" w:tplc="CE784BE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B56"/>
    <w:multiLevelType w:val="hybridMultilevel"/>
    <w:tmpl w:val="F62A5C10"/>
    <w:lvl w:ilvl="0" w:tplc="AE069C2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22F3"/>
    <w:multiLevelType w:val="hybridMultilevel"/>
    <w:tmpl w:val="DF6252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61E5"/>
    <w:rsid w:val="000947CD"/>
    <w:rsid w:val="0012105E"/>
    <w:rsid w:val="00484A66"/>
    <w:rsid w:val="00661801"/>
    <w:rsid w:val="0072237E"/>
    <w:rsid w:val="00731149"/>
    <w:rsid w:val="007F2EE4"/>
    <w:rsid w:val="00823B21"/>
    <w:rsid w:val="00947A2F"/>
    <w:rsid w:val="00A742DF"/>
    <w:rsid w:val="00A828F8"/>
    <w:rsid w:val="00C63C08"/>
    <w:rsid w:val="00E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F84B4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7F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2019-10-30T17:46:00Z</dcterms:created>
  <dcterms:modified xsi:type="dcterms:W3CDTF">2020-08-01T00:58:00Z</dcterms:modified>
</cp:coreProperties>
</file>