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Pr="00A940FB" w:rsidRDefault="00A940FB" w:rsidP="00A940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40FB">
        <w:rPr>
          <w:rFonts w:ascii="Arial" w:hAnsi="Arial" w:cs="Arial"/>
          <w:b/>
          <w:bCs/>
          <w:sz w:val="22"/>
          <w:szCs w:val="22"/>
        </w:rPr>
        <w:t>FRACCIÓN XI</w:t>
      </w:r>
    </w:p>
    <w:p w:rsidR="00A940FB" w:rsidRPr="00A940FB" w:rsidRDefault="00A940FB" w:rsidP="00A940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40FB">
        <w:rPr>
          <w:rFonts w:ascii="Arial" w:hAnsi="Arial" w:cs="Arial"/>
          <w:b/>
          <w:bCs/>
          <w:sz w:val="22"/>
          <w:szCs w:val="22"/>
        </w:rPr>
        <w:t>PRESTADORES DE SERVICIOS</w:t>
      </w: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Pr="00A940FB" w:rsidRDefault="00A940FB" w:rsidP="00A940FB">
      <w:pPr>
        <w:jc w:val="right"/>
        <w:rPr>
          <w:rFonts w:ascii="Arial" w:hAnsi="Arial" w:cs="Arial"/>
          <w:sz w:val="22"/>
          <w:szCs w:val="22"/>
        </w:rPr>
      </w:pPr>
      <w:r w:rsidRPr="00A940FB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A940FB">
        <w:rPr>
          <w:rFonts w:ascii="Arial" w:hAnsi="Arial" w:cs="Arial"/>
          <w:sz w:val="22"/>
          <w:szCs w:val="22"/>
        </w:rPr>
        <w:t xml:space="preserve">ctualización: </w:t>
      </w:r>
      <w:r w:rsidR="005E0F81">
        <w:rPr>
          <w:rFonts w:ascii="Arial" w:hAnsi="Arial" w:cs="Arial"/>
          <w:sz w:val="22"/>
          <w:szCs w:val="22"/>
        </w:rPr>
        <w:t>30</w:t>
      </w:r>
      <w:r w:rsidR="00EA57E6" w:rsidRPr="00EA57E6">
        <w:rPr>
          <w:rFonts w:ascii="Arial" w:hAnsi="Arial" w:cs="Arial"/>
          <w:sz w:val="22"/>
          <w:szCs w:val="22"/>
        </w:rPr>
        <w:t xml:space="preserve"> de </w:t>
      </w:r>
      <w:r w:rsidR="005E0F81">
        <w:rPr>
          <w:rFonts w:ascii="Arial" w:hAnsi="Arial" w:cs="Arial"/>
          <w:sz w:val="22"/>
          <w:szCs w:val="22"/>
        </w:rPr>
        <w:t>septiembre</w:t>
      </w:r>
      <w:r w:rsidR="00EA57E6" w:rsidRPr="00EA57E6">
        <w:rPr>
          <w:rFonts w:ascii="Arial" w:hAnsi="Arial" w:cs="Arial"/>
          <w:sz w:val="22"/>
          <w:szCs w:val="22"/>
        </w:rPr>
        <w:t xml:space="preserve"> de 20</w:t>
      </w:r>
      <w:r w:rsidR="00EF4574">
        <w:rPr>
          <w:rFonts w:ascii="Arial" w:hAnsi="Arial" w:cs="Arial"/>
          <w:sz w:val="22"/>
          <w:szCs w:val="22"/>
        </w:rPr>
        <w:t>20</w:t>
      </w: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P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  <w:r w:rsidRPr="00A940FB">
        <w:rPr>
          <w:rFonts w:ascii="Arial" w:hAnsi="Arial" w:cs="Arial"/>
          <w:sz w:val="22"/>
          <w:szCs w:val="22"/>
        </w:rPr>
        <w:t>La Ley de Transparencia y Acceso a la Información Pública del Estado de Chihuahua, establece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en su art. 77, lo siguiente:</w:t>
      </w: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Pr="00C94E03" w:rsidRDefault="00A940FB" w:rsidP="00A940F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C94E03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A940FB" w:rsidRPr="00C94E03" w:rsidRDefault="00A940FB" w:rsidP="00A940F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A940FB" w:rsidRPr="00C94E03" w:rsidRDefault="00A940FB" w:rsidP="00A940F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C94E03">
        <w:rPr>
          <w:rFonts w:ascii="Arial" w:hAnsi="Arial" w:cs="Arial"/>
          <w:i/>
          <w:iCs/>
          <w:sz w:val="22"/>
          <w:szCs w:val="22"/>
        </w:rPr>
        <w:t>XI. Las contrataciones de servicios profesionales por honorarios, señalando los nombres de los prestadores de servicios, los servicios contratados, el monto de los honorarios y el periodo de contratación.”</w:t>
      </w: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</w:p>
    <w:p w:rsidR="00C63C08" w:rsidRPr="00A940FB" w:rsidRDefault="00A940FB" w:rsidP="00A940FB">
      <w:pPr>
        <w:jc w:val="both"/>
        <w:rPr>
          <w:rFonts w:ascii="Arial" w:hAnsi="Arial" w:cs="Arial"/>
          <w:sz w:val="22"/>
          <w:szCs w:val="22"/>
        </w:rPr>
      </w:pPr>
      <w:r w:rsidRPr="00A940FB">
        <w:rPr>
          <w:rFonts w:ascii="Arial" w:hAnsi="Arial" w:cs="Arial"/>
          <w:sz w:val="22"/>
          <w:szCs w:val="22"/>
        </w:rPr>
        <w:t>Atendiendo a lo establecido por el artículo octavo de su decreto de creación, en lo concerniente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a las partes no se contempla la existencia de una estructura orgánica, ni la contratación de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profesionistas para la prestación de servicios, por lo que se determina que la presente fracción</w:t>
      </w:r>
      <w:r>
        <w:rPr>
          <w:rFonts w:ascii="Arial" w:hAnsi="Arial" w:cs="Arial"/>
          <w:sz w:val="22"/>
          <w:szCs w:val="22"/>
        </w:rPr>
        <w:t xml:space="preserve"> </w:t>
      </w:r>
      <w:r w:rsidRPr="00A940FB">
        <w:rPr>
          <w:rFonts w:ascii="Arial" w:hAnsi="Arial" w:cs="Arial"/>
          <w:sz w:val="22"/>
          <w:szCs w:val="22"/>
        </w:rPr>
        <w:t>resulta inaplicable.</w:t>
      </w:r>
    </w:p>
    <w:sectPr w:rsidR="00C63C08" w:rsidRPr="00A940FB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3011" w:rsidRDefault="00363011" w:rsidP="00C63C08">
      <w:r>
        <w:separator/>
      </w:r>
    </w:p>
  </w:endnote>
  <w:endnote w:type="continuationSeparator" w:id="0">
    <w:p w:rsidR="00363011" w:rsidRDefault="00363011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3011" w:rsidRDefault="00363011" w:rsidP="00C63C08">
      <w:r>
        <w:separator/>
      </w:r>
    </w:p>
  </w:footnote>
  <w:footnote w:type="continuationSeparator" w:id="0">
    <w:p w:rsidR="00363011" w:rsidRDefault="00363011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B56A1"/>
    <w:rsid w:val="00363011"/>
    <w:rsid w:val="003B6C43"/>
    <w:rsid w:val="00421B49"/>
    <w:rsid w:val="00454CEF"/>
    <w:rsid w:val="004F551F"/>
    <w:rsid w:val="005919C6"/>
    <w:rsid w:val="005E0F81"/>
    <w:rsid w:val="00661801"/>
    <w:rsid w:val="0072076E"/>
    <w:rsid w:val="007A28AF"/>
    <w:rsid w:val="00823B21"/>
    <w:rsid w:val="00846C60"/>
    <w:rsid w:val="00A940FB"/>
    <w:rsid w:val="00BD7813"/>
    <w:rsid w:val="00C63C08"/>
    <w:rsid w:val="00C94E03"/>
    <w:rsid w:val="00EA57E6"/>
    <w:rsid w:val="00EF4574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F009B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Sistemas Ficosec</cp:lastModifiedBy>
  <cp:revision>6</cp:revision>
  <dcterms:created xsi:type="dcterms:W3CDTF">2019-10-30T19:53:00Z</dcterms:created>
  <dcterms:modified xsi:type="dcterms:W3CDTF">2020-10-31T02:33:00Z</dcterms:modified>
</cp:coreProperties>
</file>