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A496B" w:rsidRDefault="00BA496B" w:rsidP="00BA496B">
      <w:pPr>
        <w:jc w:val="both"/>
        <w:rPr>
          <w:rFonts w:ascii="Arial" w:hAnsi="Arial" w:cs="Arial"/>
          <w:sz w:val="22"/>
          <w:szCs w:val="22"/>
        </w:rPr>
      </w:pPr>
    </w:p>
    <w:p w:rsidR="00BA496B" w:rsidRPr="00BA496B" w:rsidRDefault="00BA496B" w:rsidP="00BA496B">
      <w:pPr>
        <w:jc w:val="center"/>
        <w:rPr>
          <w:rFonts w:ascii="Arial" w:hAnsi="Arial" w:cs="Arial"/>
          <w:b/>
          <w:bCs/>
          <w:sz w:val="22"/>
          <w:szCs w:val="22"/>
        </w:rPr>
      </w:pPr>
      <w:r w:rsidRPr="00BA496B">
        <w:rPr>
          <w:rFonts w:ascii="Arial" w:hAnsi="Arial" w:cs="Arial"/>
          <w:b/>
          <w:bCs/>
          <w:sz w:val="22"/>
          <w:szCs w:val="22"/>
        </w:rPr>
        <w:t>FRACCIÓN XXIII</w:t>
      </w:r>
    </w:p>
    <w:p w:rsidR="00BA496B" w:rsidRPr="00BA496B" w:rsidRDefault="00BA496B" w:rsidP="00BA496B">
      <w:pPr>
        <w:jc w:val="center"/>
        <w:rPr>
          <w:rFonts w:ascii="Arial" w:hAnsi="Arial" w:cs="Arial"/>
          <w:b/>
          <w:bCs/>
          <w:sz w:val="22"/>
          <w:szCs w:val="22"/>
        </w:rPr>
      </w:pPr>
      <w:r w:rsidRPr="00BA496B">
        <w:rPr>
          <w:rFonts w:ascii="Arial" w:hAnsi="Arial" w:cs="Arial"/>
          <w:b/>
          <w:bCs/>
          <w:sz w:val="22"/>
          <w:szCs w:val="22"/>
        </w:rPr>
        <w:t>GASTOS DE COMUNICACIÓN Y PUBLICIDAD</w:t>
      </w:r>
    </w:p>
    <w:p w:rsidR="00BA496B" w:rsidRDefault="00BA496B" w:rsidP="00BA496B">
      <w:pPr>
        <w:jc w:val="both"/>
        <w:rPr>
          <w:rFonts w:ascii="Arial" w:hAnsi="Arial" w:cs="Arial"/>
          <w:sz w:val="22"/>
          <w:szCs w:val="22"/>
        </w:rPr>
      </w:pPr>
    </w:p>
    <w:p w:rsidR="00BA496B" w:rsidRPr="00BA496B" w:rsidRDefault="00BA496B" w:rsidP="00BA496B">
      <w:pPr>
        <w:jc w:val="right"/>
        <w:rPr>
          <w:rFonts w:ascii="Arial" w:hAnsi="Arial" w:cs="Arial"/>
          <w:sz w:val="22"/>
          <w:szCs w:val="22"/>
        </w:rPr>
      </w:pPr>
      <w:r w:rsidRPr="00BA496B">
        <w:rPr>
          <w:rFonts w:ascii="Arial" w:hAnsi="Arial" w:cs="Arial"/>
          <w:sz w:val="22"/>
          <w:szCs w:val="22"/>
        </w:rPr>
        <w:t xml:space="preserve">Fecha de </w:t>
      </w:r>
      <w:r>
        <w:rPr>
          <w:rFonts w:ascii="Arial" w:hAnsi="Arial" w:cs="Arial"/>
          <w:sz w:val="22"/>
          <w:szCs w:val="22"/>
        </w:rPr>
        <w:t>a</w:t>
      </w:r>
      <w:r w:rsidRPr="00BA496B">
        <w:rPr>
          <w:rFonts w:ascii="Arial" w:hAnsi="Arial" w:cs="Arial"/>
          <w:sz w:val="22"/>
          <w:szCs w:val="22"/>
        </w:rPr>
        <w:t xml:space="preserve">ctualización: </w:t>
      </w:r>
      <w:r w:rsidR="007A5347">
        <w:rPr>
          <w:rFonts w:ascii="Arial" w:hAnsi="Arial" w:cs="Arial"/>
          <w:sz w:val="22"/>
          <w:szCs w:val="22"/>
        </w:rPr>
        <w:t>30</w:t>
      </w:r>
      <w:r w:rsidR="00624803" w:rsidRPr="00624803">
        <w:rPr>
          <w:rFonts w:ascii="Arial" w:hAnsi="Arial" w:cs="Arial"/>
          <w:sz w:val="22"/>
          <w:szCs w:val="22"/>
        </w:rPr>
        <w:t xml:space="preserve"> de </w:t>
      </w:r>
      <w:r w:rsidR="007A5347">
        <w:rPr>
          <w:rFonts w:ascii="Arial" w:hAnsi="Arial" w:cs="Arial"/>
          <w:sz w:val="22"/>
          <w:szCs w:val="22"/>
        </w:rPr>
        <w:t>septiembre</w:t>
      </w:r>
      <w:r w:rsidR="00624803" w:rsidRPr="00624803">
        <w:rPr>
          <w:rFonts w:ascii="Arial" w:hAnsi="Arial" w:cs="Arial"/>
          <w:sz w:val="22"/>
          <w:szCs w:val="22"/>
        </w:rPr>
        <w:t xml:space="preserve"> de 20</w:t>
      </w:r>
      <w:r w:rsidR="0070695D">
        <w:rPr>
          <w:rFonts w:ascii="Arial" w:hAnsi="Arial" w:cs="Arial"/>
          <w:sz w:val="22"/>
          <w:szCs w:val="22"/>
        </w:rPr>
        <w:t>20</w:t>
      </w:r>
    </w:p>
    <w:p w:rsidR="00BA496B" w:rsidRDefault="00BA496B" w:rsidP="00BA496B">
      <w:pPr>
        <w:jc w:val="both"/>
        <w:rPr>
          <w:rFonts w:ascii="Arial" w:hAnsi="Arial" w:cs="Arial"/>
          <w:sz w:val="22"/>
          <w:szCs w:val="22"/>
        </w:rPr>
      </w:pPr>
    </w:p>
    <w:p w:rsidR="00BA496B" w:rsidRDefault="00BA496B" w:rsidP="00BA496B">
      <w:pPr>
        <w:jc w:val="both"/>
        <w:rPr>
          <w:rFonts w:ascii="Arial" w:hAnsi="Arial" w:cs="Arial"/>
          <w:sz w:val="22"/>
          <w:szCs w:val="22"/>
        </w:rPr>
      </w:pPr>
    </w:p>
    <w:p w:rsidR="00BA496B" w:rsidRPr="00BA496B" w:rsidRDefault="00BA496B" w:rsidP="00BA496B">
      <w:pPr>
        <w:jc w:val="both"/>
        <w:rPr>
          <w:rFonts w:ascii="Arial" w:hAnsi="Arial" w:cs="Arial"/>
          <w:sz w:val="22"/>
          <w:szCs w:val="22"/>
        </w:rPr>
      </w:pPr>
      <w:r w:rsidRPr="00BA496B">
        <w:rPr>
          <w:rFonts w:ascii="Arial" w:hAnsi="Arial" w:cs="Arial"/>
          <w:sz w:val="22"/>
          <w:szCs w:val="22"/>
        </w:rPr>
        <w:t>La Ley de Transparencia y Acceso a la Información Pública del Estado de Chihuahua, establece en su art. 77, lo siguiente:</w:t>
      </w:r>
    </w:p>
    <w:p w:rsidR="00BA496B" w:rsidRDefault="00BA496B" w:rsidP="00BA496B">
      <w:pPr>
        <w:jc w:val="both"/>
        <w:rPr>
          <w:rFonts w:ascii="Arial" w:hAnsi="Arial" w:cs="Arial"/>
          <w:sz w:val="22"/>
          <w:szCs w:val="22"/>
        </w:rPr>
      </w:pPr>
    </w:p>
    <w:p w:rsidR="00BA496B" w:rsidRPr="00503412" w:rsidRDefault="00BA496B" w:rsidP="00BA496B">
      <w:pPr>
        <w:ind w:left="284"/>
        <w:jc w:val="both"/>
        <w:rPr>
          <w:rFonts w:ascii="Arial" w:hAnsi="Arial" w:cs="Arial"/>
          <w:i/>
          <w:iCs/>
          <w:sz w:val="22"/>
          <w:szCs w:val="22"/>
        </w:rPr>
      </w:pPr>
      <w:r w:rsidRPr="00503412">
        <w:rPr>
          <w:rFonts w:ascii="Arial" w:hAnsi="Arial" w:cs="Arial"/>
          <w:i/>
          <w:iCs/>
          <w:sz w:val="22"/>
          <w:szCs w:val="22"/>
        </w:rPr>
        <w:t>“Los Sujetos Obligados deberán transparentar las siguientes obligaciones de transparencia:</w:t>
      </w:r>
    </w:p>
    <w:p w:rsidR="00BA496B" w:rsidRPr="00503412" w:rsidRDefault="00BA496B" w:rsidP="00BA496B">
      <w:pPr>
        <w:ind w:left="284"/>
        <w:jc w:val="both"/>
        <w:rPr>
          <w:rFonts w:ascii="Arial" w:hAnsi="Arial" w:cs="Arial"/>
          <w:i/>
          <w:iCs/>
          <w:sz w:val="22"/>
          <w:szCs w:val="22"/>
        </w:rPr>
      </w:pPr>
    </w:p>
    <w:p w:rsidR="00BA496B" w:rsidRPr="00503412" w:rsidRDefault="00BA496B" w:rsidP="00BA496B">
      <w:pPr>
        <w:ind w:left="284"/>
        <w:jc w:val="both"/>
        <w:rPr>
          <w:rFonts w:ascii="Arial" w:hAnsi="Arial" w:cs="Arial"/>
          <w:i/>
          <w:iCs/>
          <w:sz w:val="22"/>
          <w:szCs w:val="22"/>
        </w:rPr>
      </w:pPr>
      <w:r w:rsidRPr="00503412">
        <w:rPr>
          <w:rFonts w:ascii="Arial" w:hAnsi="Arial" w:cs="Arial"/>
          <w:i/>
          <w:iCs/>
          <w:sz w:val="22"/>
          <w:szCs w:val="22"/>
        </w:rPr>
        <w:t>XXIII. Los montos destinados a gastos relativos a comunicación social y publicidad oficial desglosada por tipo de medio, proveedores, número de contrato y concepto o campaña.”</w:t>
      </w:r>
    </w:p>
    <w:p w:rsidR="00BA496B" w:rsidRDefault="00BA496B" w:rsidP="00BA496B">
      <w:pPr>
        <w:jc w:val="both"/>
        <w:rPr>
          <w:rFonts w:ascii="Arial" w:hAnsi="Arial" w:cs="Arial"/>
          <w:sz w:val="22"/>
          <w:szCs w:val="22"/>
        </w:rPr>
      </w:pPr>
    </w:p>
    <w:p w:rsidR="00BA496B" w:rsidRDefault="00BA496B" w:rsidP="00BA496B">
      <w:pPr>
        <w:jc w:val="both"/>
        <w:rPr>
          <w:rFonts w:ascii="Arial" w:hAnsi="Arial" w:cs="Arial"/>
          <w:sz w:val="22"/>
          <w:szCs w:val="22"/>
        </w:rPr>
      </w:pPr>
    </w:p>
    <w:p w:rsidR="00C63C08" w:rsidRPr="00BA496B" w:rsidRDefault="00BA496B" w:rsidP="00BA496B">
      <w:pPr>
        <w:jc w:val="both"/>
      </w:pPr>
      <w:r w:rsidRPr="00BA496B">
        <w:rPr>
          <w:rFonts w:ascii="Arial" w:hAnsi="Arial" w:cs="Arial"/>
          <w:sz w:val="22"/>
          <w:szCs w:val="22"/>
        </w:rPr>
        <w:t>De acuerdo a los objetivos del fidecomiso establecidos en el artículo primero de su decreto de creación, los fines del fideicomiso y sus ejes estratégicos, se concluye que esta actividad no es parte de la naturaleza del fideicomiso. Toda vez, que objetivo del Fideicomiso es el de ser un instrumento financiero para atender las cuestiones relacionadas con competitividad y seguridad ciudadana. Dicho lo anterior se concluye que la presente fracción es inaplicable ya que el Fideicomiso no destina monto alguno a gastos de publicidad o comunicación social.</w:t>
      </w:r>
    </w:p>
    <w:sectPr w:rsidR="00C63C08" w:rsidRPr="00BA496B" w:rsidSect="00661801">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E59EB" w:rsidRDefault="00CE59EB" w:rsidP="00C63C08">
      <w:r>
        <w:separator/>
      </w:r>
    </w:p>
  </w:endnote>
  <w:endnote w:type="continuationSeparator" w:id="0">
    <w:p w:rsidR="00CE59EB" w:rsidRDefault="00CE59EB" w:rsidP="00C6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63C08" w:rsidRPr="00C63C08" w:rsidRDefault="00C63C08" w:rsidP="00C63C08">
    <w:pPr>
      <w:pStyle w:val="Piedepgina"/>
      <w:jc w:val="right"/>
      <w:rPr>
        <w:rFonts w:ascii="Arial" w:hAnsi="Arial" w:cs="Arial"/>
        <w:b/>
        <w:bCs/>
        <w:sz w:val="20"/>
        <w:szCs w:val="20"/>
      </w:rPr>
    </w:pPr>
    <w:r>
      <w:rPr>
        <w:rFonts w:ascii="Arial" w:hAnsi="Arial" w:cs="Arial"/>
        <w:b/>
        <w:bCs/>
        <w:sz w:val="20"/>
        <w:szCs w:val="20"/>
      </w:rPr>
      <w:t>Calle 21a No. 2501, Col. Santo Niño, Tel. 614 413-24-71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E59EB" w:rsidRDefault="00CE59EB" w:rsidP="00C63C08">
      <w:r>
        <w:separator/>
      </w:r>
    </w:p>
  </w:footnote>
  <w:footnote w:type="continuationSeparator" w:id="0">
    <w:p w:rsidR="00CE59EB" w:rsidRDefault="00CE59EB" w:rsidP="00C63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63C08" w:rsidRDefault="00C63C08">
    <w:pPr>
      <w:pStyle w:val="Encabezado"/>
    </w:pPr>
    <w:r>
      <w:rPr>
        <w:noProof/>
      </w:rPr>
      <w:drawing>
        <wp:anchor distT="0" distB="0" distL="0" distR="0" simplePos="0" relativeHeight="251659264" behindDoc="1" locked="0" layoutInCell="1" allowOverlap="1" wp14:anchorId="22A3E5F4" wp14:editId="04B97A84">
          <wp:simplePos x="0" y="0"/>
          <wp:positionH relativeFrom="page">
            <wp:posOffset>1080135</wp:posOffset>
          </wp:positionH>
          <wp:positionV relativeFrom="page">
            <wp:posOffset>448945</wp:posOffset>
          </wp:positionV>
          <wp:extent cx="1418374" cy="35513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418374" cy="35513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C08"/>
    <w:rsid w:val="00071A3E"/>
    <w:rsid w:val="000E34EC"/>
    <w:rsid w:val="000F6B29"/>
    <w:rsid w:val="00345C55"/>
    <w:rsid w:val="003B6C43"/>
    <w:rsid w:val="00421B49"/>
    <w:rsid w:val="00454CEF"/>
    <w:rsid w:val="00466E5F"/>
    <w:rsid w:val="004F551F"/>
    <w:rsid w:val="00503412"/>
    <w:rsid w:val="00605718"/>
    <w:rsid w:val="00624803"/>
    <w:rsid w:val="00661801"/>
    <w:rsid w:val="0070695D"/>
    <w:rsid w:val="0072076E"/>
    <w:rsid w:val="007A28AF"/>
    <w:rsid w:val="007A5347"/>
    <w:rsid w:val="00823B21"/>
    <w:rsid w:val="00A940FB"/>
    <w:rsid w:val="00AC6B46"/>
    <w:rsid w:val="00B3039A"/>
    <w:rsid w:val="00B8534D"/>
    <w:rsid w:val="00BA496B"/>
    <w:rsid w:val="00C63C08"/>
    <w:rsid w:val="00CE59EB"/>
    <w:rsid w:val="00FE34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9E3E7B"/>
  <w15:chartTrackingRefBased/>
  <w15:docId w15:val="{8C802945-BAE7-1F42-81BB-356382463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3C08"/>
    <w:pPr>
      <w:tabs>
        <w:tab w:val="center" w:pos="4419"/>
        <w:tab w:val="right" w:pos="8838"/>
      </w:tabs>
    </w:pPr>
  </w:style>
  <w:style w:type="character" w:customStyle="1" w:styleId="EncabezadoCar">
    <w:name w:val="Encabezado Car"/>
    <w:basedOn w:val="Fuentedeprrafopredeter"/>
    <w:link w:val="Encabezado"/>
    <w:uiPriority w:val="99"/>
    <w:rsid w:val="00C63C08"/>
  </w:style>
  <w:style w:type="paragraph" w:styleId="Piedepgina">
    <w:name w:val="footer"/>
    <w:basedOn w:val="Normal"/>
    <w:link w:val="PiedepginaCar"/>
    <w:uiPriority w:val="99"/>
    <w:unhideWhenUsed/>
    <w:rsid w:val="00C63C08"/>
    <w:pPr>
      <w:tabs>
        <w:tab w:val="center" w:pos="4419"/>
        <w:tab w:val="right" w:pos="8838"/>
      </w:tabs>
    </w:pPr>
  </w:style>
  <w:style w:type="character" w:customStyle="1" w:styleId="PiedepginaCar">
    <w:name w:val="Pie de página Car"/>
    <w:basedOn w:val="Fuentedeprrafopredeter"/>
    <w:link w:val="Piedepgina"/>
    <w:uiPriority w:val="99"/>
    <w:rsid w:val="00C63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162</Words>
  <Characters>891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Fundacion Ficosec AC</dc:creator>
  <cp:keywords/>
  <dc:description/>
  <cp:lastModifiedBy>Sistemas Ficosec</cp:lastModifiedBy>
  <cp:revision>6</cp:revision>
  <dcterms:created xsi:type="dcterms:W3CDTF">2019-10-30T20:05:00Z</dcterms:created>
  <dcterms:modified xsi:type="dcterms:W3CDTF">2020-10-31T02:40:00Z</dcterms:modified>
</cp:coreProperties>
</file>