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FRACCIÓN III</w:t>
      </w:r>
    </w:p>
    <w:p w:rsidR="00421B49" w:rsidRPr="00421B49" w:rsidRDefault="00421B49" w:rsidP="00421B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1B49">
        <w:rPr>
          <w:rFonts w:ascii="Arial" w:hAnsi="Arial" w:cs="Arial"/>
          <w:b/>
          <w:bCs/>
          <w:sz w:val="22"/>
          <w:szCs w:val="22"/>
        </w:rPr>
        <w:t>FACULTADES DE CADA ÁREA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right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21B49">
        <w:rPr>
          <w:rFonts w:ascii="Arial" w:hAnsi="Arial" w:cs="Arial"/>
          <w:sz w:val="22"/>
          <w:szCs w:val="22"/>
        </w:rPr>
        <w:t xml:space="preserve">ctualización: </w:t>
      </w:r>
      <w:r w:rsidR="008675AC">
        <w:rPr>
          <w:rFonts w:ascii="Arial" w:hAnsi="Arial" w:cs="Arial"/>
          <w:sz w:val="22"/>
          <w:szCs w:val="22"/>
        </w:rPr>
        <w:t>30</w:t>
      </w:r>
      <w:r w:rsidR="00704F10" w:rsidRPr="00704F10">
        <w:rPr>
          <w:rFonts w:ascii="Arial" w:hAnsi="Arial" w:cs="Arial"/>
          <w:sz w:val="22"/>
          <w:szCs w:val="22"/>
        </w:rPr>
        <w:t xml:space="preserve"> de </w:t>
      </w:r>
      <w:r w:rsidR="008675AC">
        <w:rPr>
          <w:rFonts w:ascii="Arial" w:hAnsi="Arial" w:cs="Arial"/>
          <w:sz w:val="22"/>
          <w:szCs w:val="22"/>
        </w:rPr>
        <w:t>septiembre</w:t>
      </w:r>
      <w:r w:rsidR="00704F10" w:rsidRPr="00704F10">
        <w:rPr>
          <w:rFonts w:ascii="Arial" w:hAnsi="Arial" w:cs="Arial"/>
          <w:sz w:val="22"/>
          <w:szCs w:val="22"/>
        </w:rPr>
        <w:t xml:space="preserve"> de 20</w:t>
      </w:r>
      <w:r w:rsidR="00C63308">
        <w:rPr>
          <w:rFonts w:ascii="Arial" w:hAnsi="Arial" w:cs="Arial"/>
          <w:sz w:val="22"/>
          <w:szCs w:val="22"/>
        </w:rPr>
        <w:t>20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transparencia:</w:t>
      </w:r>
    </w:p>
    <w:p w:rsidR="00421B49" w:rsidRPr="00AE4135" w:rsidRDefault="00421B49" w:rsidP="004F551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E4135">
        <w:rPr>
          <w:rFonts w:ascii="Arial" w:hAnsi="Arial" w:cs="Arial"/>
          <w:i/>
          <w:iCs/>
          <w:sz w:val="22"/>
          <w:szCs w:val="22"/>
        </w:rPr>
        <w:t>III. Las facultades de cada área.”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  <w:r w:rsidRPr="00421B49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áreas. Por lo que derivado del análisis de lo anterior se determina que la presente fracción no resulta aplicable.</w:t>
      </w: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421B49" w:rsidRPr="00421B49" w:rsidRDefault="00421B49" w:rsidP="00421B49">
      <w:pPr>
        <w:jc w:val="both"/>
        <w:rPr>
          <w:rFonts w:ascii="Arial" w:hAnsi="Arial" w:cs="Arial"/>
          <w:sz w:val="22"/>
          <w:szCs w:val="22"/>
        </w:rPr>
      </w:pPr>
    </w:p>
    <w:p w:rsidR="00C63C08" w:rsidRPr="00421B49" w:rsidRDefault="00C63C08" w:rsidP="00421B49">
      <w:pPr>
        <w:jc w:val="both"/>
        <w:rPr>
          <w:rFonts w:ascii="Arial" w:hAnsi="Arial" w:cs="Arial"/>
          <w:sz w:val="22"/>
          <w:szCs w:val="22"/>
        </w:rPr>
      </w:pPr>
    </w:p>
    <w:sectPr w:rsidR="00C63C08" w:rsidRPr="00421B49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634A" w:rsidRDefault="0021634A" w:rsidP="00C63C08">
      <w:r>
        <w:separator/>
      </w:r>
    </w:p>
  </w:endnote>
  <w:endnote w:type="continuationSeparator" w:id="0">
    <w:p w:rsidR="0021634A" w:rsidRDefault="0021634A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634A" w:rsidRDefault="0021634A" w:rsidP="00C63C08">
      <w:r>
        <w:separator/>
      </w:r>
    </w:p>
  </w:footnote>
  <w:footnote w:type="continuationSeparator" w:id="0">
    <w:p w:rsidR="0021634A" w:rsidRDefault="0021634A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21634A"/>
    <w:rsid w:val="00327B00"/>
    <w:rsid w:val="00421B49"/>
    <w:rsid w:val="00445B76"/>
    <w:rsid w:val="004F551F"/>
    <w:rsid w:val="005F3BA2"/>
    <w:rsid w:val="00661801"/>
    <w:rsid w:val="006912CA"/>
    <w:rsid w:val="00704F10"/>
    <w:rsid w:val="00823B21"/>
    <w:rsid w:val="008675AC"/>
    <w:rsid w:val="00AE4135"/>
    <w:rsid w:val="00C63308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675CE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2019-10-30T19:13:00Z</dcterms:created>
  <dcterms:modified xsi:type="dcterms:W3CDTF">2020-10-31T02:05:00Z</dcterms:modified>
</cp:coreProperties>
</file>